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709"/>
        <w:jc w:val="both"/>
        <w:rPr>
          <w:sz w:val="28"/>
          <w:szCs w:val="28"/>
        </w:rPr>
      </w:pPr>
    </w:p>
    <w:p>
      <w:pPr>
        <w:keepNext/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02-0066/2605/2024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УИД: 86MS0060-01-2023-011480-91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Addressgrp-0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 февраля 2024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5 Сургутского судебного района города окружного значения Сургута </w:t>
      </w:r>
      <w:r>
        <w:rPr>
          <w:rStyle w:val="cat-Addressgrp-1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Зиннурова Т.И., при секретаре Сергачевой К.С.,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Чалышевой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Сургутского городского муниципального унитарного предприятия "Городские тепловые сети" к Галич Надежде Григорьевне,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Николаю Николаевичу о солидарном взыскании задолженности за коммунальные услуги в размере 27027,02 рубля, пени в размере 2527,76 рублей, расходов по оплате государственной пошлины в размере 1086 руб. 64 </w:t>
      </w:r>
      <w:r>
        <w:rPr>
          <w:rFonts w:ascii="Times New Roman" w:eastAsia="Times New Roman" w:hAnsi="Times New Roman" w:cs="Times New Roman"/>
          <w:sz w:val="28"/>
          <w:szCs w:val="28"/>
        </w:rPr>
        <w:t>коп.,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Истец обратился с исковым заявлением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Галич Надежде Григорьевне,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Николаю Николаевичу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солидарном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взыскании задолженности по оплате коммунальных услуг, расходов по уплате 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мотивируя свои требования тем,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нанимателем квартиры </w:t>
      </w:r>
      <w:r>
        <w:rPr>
          <w:rStyle w:val="cat-UserDefinedgrp-7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Галич Надежда Григорьевна,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зарегистрирована и проживает в указанном жилом помещении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жилое сдается в наем по договору социального найма № 24 от 29.01.2020. Членом семьи нанимателя, который зарегистрирован и проживает в указ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анном жилом помещении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сын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Н</w:t>
      </w:r>
      <w:r>
        <w:rPr>
          <w:rFonts w:ascii="Times New Roman" w:eastAsia="Times New Roman" w:hAnsi="Times New Roman" w:cs="Times New Roman"/>
          <w:sz w:val="28"/>
          <w:szCs w:val="28"/>
        </w:rPr>
        <w:t>иколаевич.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01.0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 ответчиков образовалась задолженность по оплате жилищно-коммунальных услуг 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27027 ,02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пени в размере 2527,76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Учитывая изложенное, истец просит взыскать солидарно с ответчиков задолженность оплате жилищно-коммунальных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пени,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 по уплате государственной пошлины.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истца,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поддержала исковые требования по основаниям, изложенным в исковом 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</w:t>
      </w:r>
      <w:r>
        <w:rPr>
          <w:rFonts w:ascii="Times New Roman" w:eastAsia="Times New Roman" w:hAnsi="Times New Roman" w:cs="Times New Roman"/>
          <w:sz w:val="28"/>
          <w:szCs w:val="28"/>
        </w:rPr>
        <w:t>ич Н.Г.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явилась. Извещена, о времени и месте рассмотрения дела по месту жительства повесткой, которая возвращена в суд с отметкой «истек срок хранения».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возражал </w:t>
      </w:r>
      <w:r>
        <w:rPr>
          <w:rFonts w:ascii="Times New Roman" w:eastAsia="Times New Roman" w:hAnsi="Times New Roman" w:cs="Times New Roman"/>
          <w:sz w:val="28"/>
          <w:szCs w:val="28"/>
        </w:rPr>
        <w:t>против исковых требований, пояснив,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согласен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объемом потребленных услуг, то есть опять же – собственники несут ответственность за состояние приборов учета, наниматели за это ответственности не несут. Жилец решает передавать ему показания приборов учета или не передавать? В этом случае предусмотрено законодательство, я на него сослался – ст. 59, 60 «Правил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коммунальных услуг", соответственно, расчет должен производиться по нормативу, и за время приостановления и проведения профилактических работ две недели, вода не подается, соответственно расчет должен произ</w:t>
      </w:r>
      <w:r>
        <w:rPr>
          <w:rFonts w:ascii="Times New Roman" w:eastAsia="Times New Roman" w:hAnsi="Times New Roman" w:cs="Times New Roman"/>
          <w:sz w:val="28"/>
          <w:szCs w:val="28"/>
        </w:rPr>
        <w:t>водиться за 17 календарных дней,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объемом тепловой энергии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не </w:t>
      </w:r>
      <w:r>
        <w:rPr>
          <w:rFonts w:ascii="Times New Roman" w:eastAsia="Times New Roman" w:hAnsi="Times New Roman" w:cs="Times New Roman"/>
          <w:sz w:val="28"/>
          <w:szCs w:val="28"/>
        </w:rPr>
        <w:t>требу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столько энергии, </w:t>
      </w:r>
      <w:r>
        <w:rPr>
          <w:rFonts w:ascii="Times New Roman" w:eastAsia="Times New Roman" w:hAnsi="Times New Roman" w:cs="Times New Roman"/>
          <w:sz w:val="28"/>
          <w:szCs w:val="28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энергию потребляют соседи.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истец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объема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выч</w:t>
      </w:r>
      <w:r>
        <w:rPr>
          <w:rFonts w:ascii="Times New Roman" w:eastAsia="Times New Roman" w:hAnsi="Times New Roman" w:cs="Times New Roman"/>
          <w:sz w:val="28"/>
          <w:szCs w:val="28"/>
        </w:rPr>
        <w:t>есть объем потребляемый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павильон</w:t>
      </w:r>
      <w:r>
        <w:rPr>
          <w:rFonts w:ascii="Times New Roman" w:eastAsia="Times New Roman" w:hAnsi="Times New Roman" w:cs="Times New Roman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ся рядом с их домом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считает,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он присоединён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сети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потребляет </w:t>
      </w:r>
      <w:r>
        <w:rPr>
          <w:rFonts w:ascii="Times New Roman" w:eastAsia="Times New Roman" w:hAnsi="Times New Roman" w:cs="Times New Roman"/>
          <w:sz w:val="28"/>
          <w:szCs w:val="28"/>
        </w:rPr>
        <w:t>энергии поставленную для его дома</w:t>
      </w:r>
      <w:r>
        <w:rPr>
          <w:rFonts w:ascii="Times New Roman" w:eastAsia="Times New Roman" w:hAnsi="Times New Roman" w:cs="Times New Roman"/>
          <w:sz w:val="28"/>
          <w:szCs w:val="28"/>
        </w:rPr>
        <w:t>. Потребитель должен платить за тот объем услуг, который ему предоставлен.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Предоставил сра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внительный анализ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дом, расположенный в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>
        <w:rPr>
          <w:rStyle w:val="cat-UserDefinedgrp-72rplc-3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полагает возможным рассмотреть дело в отсутствие ответчика Галич Н.Г. в порядке статьи 167 ГПК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 находит иск подлежащим удовлетворению по следующим основаниям.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Галич Н.Г. является нанимателем квартиры </w:t>
      </w:r>
      <w:r>
        <w:rPr>
          <w:rStyle w:val="cat-UserDefinedgrp-7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2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на основании договора социального найма №24 от 29.01.2020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(л.д.136-139)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справки б/н от </w:t>
      </w:r>
      <w:r>
        <w:rPr>
          <w:rFonts w:ascii="Times New Roman" w:eastAsia="Times New Roman" w:hAnsi="Times New Roman" w:cs="Times New Roman"/>
          <w:sz w:val="28"/>
          <w:szCs w:val="28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квартире </w:t>
      </w:r>
      <w:r>
        <w:rPr>
          <w:rStyle w:val="cat-UserDefinedgrp-74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2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ХМАО-Югры совместно с нанимателем Галич Н.Г. с 04.11.1994 года по настоящее время зарегистрирован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Н.Н., являющийся членом семьи нанимателя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л.д.</w:t>
      </w:r>
      <w:r>
        <w:rPr>
          <w:rFonts w:ascii="Times New Roman" w:eastAsia="Times New Roman" w:hAnsi="Times New Roman" w:cs="Times New Roman"/>
          <w:sz w:val="28"/>
          <w:szCs w:val="28"/>
        </w:rPr>
        <w:t>19)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1.1 статьи 153 Жилищного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нанимателя жилого помещения по договору найма жилого помещения жилищного фонда социального использования с момента заключения данного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статьи 540 Гражданского кодекса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</w:t>
      </w:r>
      <w:r>
        <w:rPr>
          <w:rFonts w:ascii="Times New Roman" w:eastAsia="Times New Roman" w:hAnsi="Times New Roman" w:cs="Times New Roman"/>
          <w:sz w:val="28"/>
          <w:szCs w:val="28"/>
        </w:rPr>
        <w:t>6 Правил предоставления коммунальных услуг собственникам и пользователям жилых помещений в МКД и жилых домах, установленных Постановлением Правительства РФ от 6 мая 2011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правила),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редоставление коммунальных услуг потребителю, осуществляется на основании возмездного договора, содержащего положения о предоставлении коммунальных услуг, из числа договоров,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86043/entry/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пунктах 9-12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- конклюдентные действия).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7 указанных выше Правил 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настоящими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Правилами, с учетом особенностей,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86043/entry/1485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148</w:t>
        </w:r>
      </w:hyperlink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678 ГК РФ наниматель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Частью 1 статьи 155 ЖК РФ предусмотрено, что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>
      <w:pPr>
        <w:spacing w:before="0" w:after="0"/>
        <w:ind w:right="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11 статьи 155 ЖК РФ неиспользование собственниками, нанимателями и иными лицами помещений не является основанием невнесения платы за жилое помещение </w:t>
      </w:r>
      <w:r>
        <w:rPr>
          <w:rFonts w:ascii="Times New Roman" w:eastAsia="Times New Roman" w:hAnsi="Times New Roman" w:cs="Times New Roman"/>
          <w:sz w:val="28"/>
          <w:szCs w:val="28"/>
        </w:rPr>
        <w:t>и коммунальные услуги.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4 статьи 154 ЖК РФ плата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коммунальные услуги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>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>
      <w:pPr>
        <w:spacing w:before="0" w:after="0"/>
        <w:ind w:right="44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статьи 67 ГПК РФ,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Размер образовавшейся у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01.06.2022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31.01.2023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подтверждается: расчетом </w:t>
      </w:r>
      <w:r>
        <w:rPr>
          <w:rFonts w:ascii="Times New Roman" w:eastAsia="Times New Roman" w:hAnsi="Times New Roman" w:cs="Times New Roman"/>
          <w:sz w:val="28"/>
          <w:szCs w:val="28"/>
        </w:rPr>
        <w:t>размера платы по коммунальным услугам «Отопление», «Тепловая энергия для ГВС», «Холодная вода для ГВС» (л.д.</w:t>
      </w:r>
      <w:r>
        <w:rPr>
          <w:rFonts w:ascii="Times New Roman" w:eastAsia="Times New Roman" w:hAnsi="Times New Roman" w:cs="Times New Roman"/>
          <w:sz w:val="28"/>
          <w:szCs w:val="28"/>
        </w:rPr>
        <w:t>93-96)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приказа Департамента Жилищно-коммунального комплекса и энергетики Ханты-Мансийского автономного округа-Югры 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водоснабжения и водоотведению на </w:t>
      </w:r>
      <w:r>
        <w:rPr>
          <w:rStyle w:val="cat-Addressgrp-4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округа-Югры» № 12-нп от 25.12.2017 (л.д.97- 112), </w:t>
      </w:r>
      <w:r>
        <w:rPr>
          <w:rFonts w:ascii="Times New Roman" w:eastAsia="Times New Roman" w:hAnsi="Times New Roman" w:cs="Times New Roman"/>
          <w:sz w:val="28"/>
          <w:szCs w:val="28"/>
        </w:rPr>
        <w:t>копией приказа Департамента Жилищно-коммунального комплекса и энергетики Ханты-Мансийского автономного округа-Югры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некоторые приказы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Жилищно-коммунального комплекса и энергетики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>» № 7-нп от 10.07.2020 (л.д.113-134)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027,02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доводы ответчика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дом не может потреблять такое количество тепловой энергии, поскольку согласно предост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авленному отчету о потреблении тепловой энергии и теплоносителя ТС-1 за </w:t>
      </w:r>
      <w:r>
        <w:rPr>
          <w:rFonts w:ascii="Times New Roman" w:eastAsia="Times New Roman" w:hAnsi="Times New Roman" w:cs="Times New Roman"/>
          <w:sz w:val="28"/>
          <w:szCs w:val="28"/>
        </w:rPr>
        <w:t>период с 21.08.2022 по 30.01.2023, показания теплоносителя соответствует объему тепловой энергии, указанной в расчете предоставленной истцом. Предоставленный ответчиком сравнительный анализ не свидетельствует о неполучении потребителем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ему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того, предоставленный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потребления тепловой энергии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7 по </w:t>
      </w:r>
      <w:r>
        <w:rPr>
          <w:rStyle w:val="cat-Addressgrp-5rplc-5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5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дома 9 по </w:t>
      </w:r>
      <w:r>
        <w:rPr>
          <w:rStyle w:val="cat-Addressgrp-6rplc-5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5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принят судом поскольку ответчиком не учтены технические характеристики домов,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 иных показателей, требуемых для расчета необходимой тепловой энергии.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ответчика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истец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 ему показания теплосчетчика за указанный период, подлежат отклонению, поскольку ответчик с заявлением о разъяснении порядка начисления платы за предоставленные услуги к истцу не обращался.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оказательств, опровергающих требования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нанимателя жилого помещения Галич Н.Г., а также члена ее семьи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 зарегистрированного и проживающего совместно с нанимателем возникли обязательства перед истцом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«Отопление», «Тепловая энергия для ГВС», «Холодная вода для ГВС»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указанная задолженность до настоящего времени не погашена, суд считает необходимым исковые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городского муниципального унитарного предприятия "Городские тепловые сети"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ст. 155 ЖК РФ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000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ставки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>
        <w:rPr>
          <w:rFonts w:ascii="Times New Roman" w:eastAsia="Times New Roman" w:hAnsi="Times New Roman" w:cs="Times New Roman"/>
          <w:sz w:val="28"/>
          <w:szCs w:val="28"/>
        </w:rPr>
        <w:t>стотридцатой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судом установлено наличие у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коммунальн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суд считает требование истца по взысканию пени за период с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по </w:t>
      </w:r>
      <w:r>
        <w:rPr>
          <w:rFonts w:ascii="Times New Roman" w:eastAsia="Times New Roman" w:hAnsi="Times New Roman" w:cs="Times New Roman"/>
          <w:sz w:val="28"/>
          <w:szCs w:val="28"/>
        </w:rPr>
        <w:t>20.07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обоснованным и соразмерным нарушенному обязательству. Расчет пени соответствует законодательству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чем суд приходит к выводу об удовлетворении требования и полагает необходимым взыскать с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пени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2527,76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пункта 65 постановления Пленума Верховного суда Российской Федерации от 24.03.2016 № 7 «О применении судами некоторых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 об ответственности за нарушение обязательств» по смыслу статьи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Федерации, истец вправе требовать присуждения неустойки по день фактического исполнения обязательства (в частности, фактической уплаты кредитору денежных средств, передачи товара, завершения работ).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позиции Верховного суда Российской Федерации, изложенной в Обзоре судебной практики от 19.10.2016 № 3 (2016), при присуждении неустойки по день фактического исполнения обязательства расчет суммы неустойки, начисляемой после вынесения решения, по смыслу пункта 65 постановления Пленума Верховного Суда Российской Федерации от 24 марта 2016 года № 7 «О применении судами некоторых положений Гражданского кодекса Российской Федерации об ответственности за нарушение обязательств», осуществляется в процессе исполнения судебного акта судебным приставом-исполнителем, а в случаях, установленных законом, – иными органами, организациями, в том числе органами казначейства, банками и иными кредитными организациями, должностными лицами и гражданами (часть 1 статьи 7, статья 8, пункт 16 части 1 статьи 64 и часть 2 статьи 70 Закона об исполнительном производстве) по ставке, действующей на дату исполнения судебного решения.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суд также приходит к выводу о обоснованности требования истца о взыскании с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в размере 1/130 ставки рефинансирования Центрального Банка Российской Федерации, действующей на день фактической уплаты долга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27027,02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21.07.2023 по день фактической уплаты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день фактической уплаты задолженности и считает его подлежащим удовлетворению.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частью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ГПК РФ, </w:t>
      </w:r>
      <w:r>
        <w:rPr>
          <w:rFonts w:ascii="Times New Roman" w:eastAsia="Times New Roman" w:hAnsi="Times New Roman" w:cs="Times New Roman"/>
          <w:sz w:val="28"/>
          <w:szCs w:val="28"/>
        </w:rPr>
        <w:t>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Истцом при подаче искового заявления была уплачена государственная пошлина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1086,64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платежн</w:t>
      </w:r>
      <w:r>
        <w:rPr>
          <w:rFonts w:ascii="Times New Roman" w:eastAsia="Times New Roman" w:hAnsi="Times New Roman" w:cs="Times New Roman"/>
          <w:sz w:val="28"/>
          <w:szCs w:val="28"/>
        </w:rPr>
        <w:t>ые поручения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ЮРБП-002910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(4,10 рубля)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ЮРБП-</w:t>
      </w:r>
      <w:r>
        <w:rPr>
          <w:rFonts w:ascii="Times New Roman" w:eastAsia="Times New Roman" w:hAnsi="Times New Roman" w:cs="Times New Roman"/>
          <w:sz w:val="28"/>
          <w:szCs w:val="28"/>
        </w:rPr>
        <w:t>000085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308,41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ЮРБП-092636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202,21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ЮРБП-</w:t>
      </w:r>
      <w:r>
        <w:rPr>
          <w:rFonts w:ascii="Times New Roman" w:eastAsia="Times New Roman" w:hAnsi="Times New Roman" w:cs="Times New Roman"/>
          <w:sz w:val="28"/>
          <w:szCs w:val="28"/>
        </w:rPr>
        <w:t>020641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(</w:t>
      </w:r>
      <w:r>
        <w:rPr>
          <w:rFonts w:ascii="Times New Roman" w:eastAsia="Times New Roman" w:hAnsi="Times New Roman" w:cs="Times New Roman"/>
          <w:sz w:val="28"/>
          <w:szCs w:val="28"/>
        </w:rPr>
        <w:t>222,28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ЮРБП-0</w:t>
      </w:r>
      <w:r>
        <w:rPr>
          <w:rFonts w:ascii="Times New Roman" w:eastAsia="Times New Roman" w:hAnsi="Times New Roman" w:cs="Times New Roman"/>
          <w:sz w:val="28"/>
          <w:szCs w:val="28"/>
        </w:rPr>
        <w:t>23904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349,64 </w:t>
      </w:r>
      <w:r>
        <w:rPr>
          <w:rFonts w:ascii="Times New Roman" w:eastAsia="Times New Roman" w:hAnsi="Times New Roman" w:cs="Times New Roman"/>
          <w:sz w:val="28"/>
          <w:szCs w:val="28"/>
        </w:rPr>
        <w:t>рубля)</w:t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понесенные истцом судебные расходы в виде уплаченной государственной пошлин</w:t>
      </w:r>
      <w:r>
        <w:rPr>
          <w:rFonts w:ascii="Times New Roman" w:eastAsia="Times New Roman" w:hAnsi="Times New Roman" w:cs="Times New Roman"/>
          <w:sz w:val="28"/>
          <w:szCs w:val="28"/>
        </w:rPr>
        <w:t>ы подлежат взысканию с ответчиков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194-199 ГПК РФ, мировой судья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Сургутского городского муниципального унитарного предприятия "Городские тепловые сети" к Галич Надежде Григорьевне,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Николаю Николаевичу о солидарном взыскании задолженности за коммунальные услуги, пени, расходов по оплате государственной пошлины –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солидарно с Галич Надежды Григорьевны (</w:t>
      </w:r>
      <w:r>
        <w:rPr>
          <w:rStyle w:val="cat-PassportDatagrp-58rplc-9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Николаевича (</w:t>
      </w:r>
      <w:r>
        <w:rPr>
          <w:rStyle w:val="cat-PassportDatagrp-59rplc-9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</w:rPr>
        <w:t>пользу Сургутского городского муниципального унитарного предприятия "Городские тепловые сети" (ИНН8602017038) задолженность за коммунальные услуги за период с 01.06.2022 по 31.01.2023 размере 27027,02 рублей, пени за период с 12.07.2022 по 20.07.2023 в размере 2527,76 рублей, расходы по уплате государственной пошлины в размере 1086,64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Взыскивать солидарно с Галич Надежды Григорьевны (</w:t>
      </w:r>
      <w:r>
        <w:rPr>
          <w:rStyle w:val="cat-PassportDatagrp-58rplc-10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</w:rPr>
        <w:t>Маринюк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Николаевича (</w:t>
      </w:r>
      <w:r>
        <w:rPr>
          <w:rStyle w:val="cat-PassportDatagrp-59rplc-10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пользу Сургутского городского муниципального унитарного предприятия "Городские тепловые сети" (ИНН8602017038) пени в размере 1/130 ставки рефинансирования Центрального Банка Российской Федерации, действующей на день фактической уплаты, за каждый день просрочки, начисленные на сумму долга в размере 27027,02 рублей, с 21.07.2023 по день фактической уплаты задолженности.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изготовлено 14.03.2024.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ВЕРНА </w:t>
      </w:r>
      <w:r>
        <w:rPr>
          <w:rFonts w:ascii="Times New Roman" w:eastAsia="Times New Roman" w:hAnsi="Times New Roman" w:cs="Times New Roman"/>
          <w:sz w:val="28"/>
          <w:szCs w:val="28"/>
        </w:rPr>
        <w:t>14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№5 Сургутского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 города окружного значения Сургута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ХМАО-Югры Т.И. Зиннурова__________________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Подлинный документ находится в деле № 02-0066/2605/2024</w:t>
      </w:r>
    </w:p>
    <w:p>
      <w:pPr>
        <w:spacing w:before="0" w:after="160" w:line="259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2">
    <w:name w:val="cat-Address grp-0 rplc-2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UserDefinedgrp-71rplc-17">
    <w:name w:val="cat-UserDefined grp-71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UserDefinedgrp-72rplc-30">
    <w:name w:val="cat-UserDefined grp-72 rplc-30"/>
    <w:basedOn w:val="DefaultParagraphFont"/>
  </w:style>
  <w:style w:type="character" w:customStyle="1" w:styleId="cat-UserDefinedgrp-73rplc-33">
    <w:name w:val="cat-UserDefined grp-73 rplc-33"/>
    <w:basedOn w:val="DefaultParagraphFont"/>
  </w:style>
  <w:style w:type="character" w:customStyle="1" w:styleId="cat-Addressgrp-2rplc-34">
    <w:name w:val="cat-Address grp-2 rplc-34"/>
    <w:basedOn w:val="DefaultParagraphFont"/>
  </w:style>
  <w:style w:type="character" w:customStyle="1" w:styleId="cat-UserDefinedgrp-74rplc-37">
    <w:name w:val="cat-UserDefined grp-74 rplc-37"/>
    <w:basedOn w:val="DefaultParagraphFont"/>
  </w:style>
  <w:style w:type="character" w:customStyle="1" w:styleId="cat-Addressgrp-2rplc-38">
    <w:name w:val="cat-Address grp-2 rplc-38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5rplc-54">
    <w:name w:val="cat-Address grp-5 rplc-54"/>
    <w:basedOn w:val="DefaultParagraphFont"/>
  </w:style>
  <w:style w:type="character" w:customStyle="1" w:styleId="cat-Addressgrp-3rplc-55">
    <w:name w:val="cat-Address grp-3 rplc-55"/>
    <w:basedOn w:val="DefaultParagraphFont"/>
  </w:style>
  <w:style w:type="character" w:customStyle="1" w:styleId="cat-Addressgrp-6rplc-56">
    <w:name w:val="cat-Address grp-6 rplc-56"/>
    <w:basedOn w:val="DefaultParagraphFont"/>
  </w:style>
  <w:style w:type="character" w:customStyle="1" w:styleId="cat-Addressgrp-3rplc-57">
    <w:name w:val="cat-Address grp-3 rplc-57"/>
    <w:basedOn w:val="DefaultParagraphFont"/>
  </w:style>
  <w:style w:type="character" w:customStyle="1" w:styleId="cat-PassportDatagrp-58rplc-90">
    <w:name w:val="cat-PassportData grp-58 rplc-90"/>
    <w:basedOn w:val="DefaultParagraphFont"/>
  </w:style>
  <w:style w:type="character" w:customStyle="1" w:styleId="cat-PassportDatagrp-59rplc-94">
    <w:name w:val="cat-PassportData grp-59 rplc-94"/>
    <w:basedOn w:val="DefaultParagraphFont"/>
  </w:style>
  <w:style w:type="character" w:customStyle="1" w:styleId="cat-PassportDatagrp-58rplc-104">
    <w:name w:val="cat-PassportData grp-58 rplc-104"/>
    <w:basedOn w:val="DefaultParagraphFont"/>
  </w:style>
  <w:style w:type="character" w:customStyle="1" w:styleId="cat-PassportDatagrp-59rplc-108">
    <w:name w:val="cat-PassportData grp-59 rplc-10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www.consultant.ru/document/cons_doc_LAW_12453/c8144b5ee23295f6ecdf3da3a09ec81f707aac3c/" TargetMode="External" /><Relationship Id="rId6" Type="http://schemas.openxmlformats.org/officeDocument/2006/relationships/hyperlink" Target="https://sudact.ru/law/gk-rf-chast1/razdel-iii/podrazdel-1_1/glava-23/ss-2_3/statia-330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